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14000" w:type="dxa"/>
        <w:tblLook w:val="04A0" w:firstRow="1" w:lastRow="0" w:firstColumn="1" w:lastColumn="0" w:noHBand="0" w:noVBand="1"/>
      </w:tblPr>
      <w:tblGrid>
        <w:gridCol w:w="7905"/>
        <w:gridCol w:w="6095"/>
      </w:tblGrid>
      <w:tr w:rsidR="007C1482" w14:paraId="4B9B37A8" w14:textId="77777777" w:rsidTr="000E1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4EB40CBF" w14:textId="77777777" w:rsidR="007C1482" w:rsidRPr="00ED3962" w:rsidRDefault="007C1482" w:rsidP="00ED3962">
            <w:pPr>
              <w:numPr>
                <w:ilvl w:val="0"/>
                <w:numId w:val="1"/>
              </w:numPr>
              <w:shd w:val="clear" w:color="auto" w:fill="FFFFFF"/>
              <w:spacing w:after="270"/>
              <w:ind w:left="0"/>
              <w:textAlignment w:val="baseline"/>
              <w:rPr>
                <w:rFonts w:ascii="Helvetica" w:hAnsi="Helvetica" w:cs="Tahoma"/>
                <w:color w:val="00698C"/>
                <w:sz w:val="18"/>
                <w:szCs w:val="18"/>
              </w:rPr>
            </w:pPr>
            <w:bookmarkStart w:id="0" w:name="_GoBack" w:colFirst="2" w:colLast="2"/>
            <w:r w:rsidRPr="00ED3962">
              <w:rPr>
                <w:rFonts w:ascii="Helvetica" w:hAnsi="Helvetica" w:cs="Tahoma"/>
                <w:color w:val="00698C"/>
                <w:sz w:val="18"/>
                <w:szCs w:val="18"/>
              </w:rPr>
              <w:t>KAASAMISE HEA TAVA</w:t>
            </w:r>
          </w:p>
        </w:tc>
        <w:tc>
          <w:tcPr>
            <w:tcW w:w="6095" w:type="dxa"/>
          </w:tcPr>
          <w:p w14:paraId="6C59C9AF" w14:textId="77777777" w:rsidR="007C1482" w:rsidRPr="00BB056E" w:rsidRDefault="007C1482" w:rsidP="00ED3962">
            <w:pPr>
              <w:spacing w:after="270"/>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cs="Tahoma"/>
                <w:color w:val="auto"/>
                <w:sz w:val="18"/>
                <w:szCs w:val="18"/>
              </w:rPr>
            </w:pPr>
            <w:r>
              <w:rPr>
                <w:rFonts w:ascii="Helvetica" w:hAnsi="Helvetica" w:cs="Tahoma"/>
                <w:color w:val="auto"/>
                <w:sz w:val="18"/>
                <w:szCs w:val="18"/>
              </w:rPr>
              <w:t>KONTROLL</w:t>
            </w:r>
          </w:p>
        </w:tc>
      </w:tr>
      <w:tr w:rsidR="007C1482" w14:paraId="71F42A39"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1CB31641" w14:textId="77777777" w:rsidR="007C1482" w:rsidRPr="00ED3962" w:rsidRDefault="007C1482" w:rsidP="00157AE8">
            <w:pPr>
              <w:numPr>
                <w:ilvl w:val="0"/>
                <w:numId w:val="1"/>
              </w:numPr>
              <w:shd w:val="clear" w:color="auto" w:fill="FFFFFF"/>
              <w:spacing w:after="270"/>
              <w:ind w:left="0"/>
              <w:textAlignment w:val="baseline"/>
              <w:rPr>
                <w:rFonts w:ascii="Helvetica" w:hAnsi="Helvetica" w:cs="Tahoma"/>
                <w:color w:val="00698C"/>
                <w:sz w:val="18"/>
                <w:szCs w:val="18"/>
              </w:rPr>
            </w:pPr>
            <w:r w:rsidRPr="00ED3962">
              <w:rPr>
                <w:rFonts w:ascii="Helvetica" w:hAnsi="Helvetica" w:cs="Tahoma"/>
                <w:color w:val="00698C"/>
                <w:sz w:val="18"/>
                <w:szCs w:val="18"/>
              </w:rPr>
              <w:t>1. KAASAMINE</w:t>
            </w:r>
          </w:p>
        </w:tc>
        <w:tc>
          <w:tcPr>
            <w:tcW w:w="6095" w:type="dxa"/>
          </w:tcPr>
          <w:p w14:paraId="1D697682" w14:textId="77777777" w:rsidR="007C1482" w:rsidRPr="00ED3962" w:rsidRDefault="007C1482" w:rsidP="00ED3962">
            <w:pPr>
              <w:spacing w:after="270"/>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Tahoma"/>
                <w:color w:val="00698C"/>
                <w:sz w:val="18"/>
                <w:szCs w:val="18"/>
              </w:rPr>
            </w:pPr>
          </w:p>
        </w:tc>
      </w:tr>
      <w:tr w:rsidR="007C1482" w:rsidRPr="00731B28" w14:paraId="35AD8B02"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3F04B41C" w14:textId="77777777" w:rsidR="007C1482" w:rsidRPr="00ED3962" w:rsidRDefault="007C1482" w:rsidP="00157AE8">
            <w:pPr>
              <w:numPr>
                <w:ilvl w:val="1"/>
                <w:numId w:val="1"/>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1.1 Valitsusasutused kaasavad huvirühmi ning avalikkust neid puudutavate otsuste kujundamisse, et tagada otsuste parim võimalik kvaliteet ning legitiimsus</w:t>
            </w:r>
          </w:p>
        </w:tc>
        <w:tc>
          <w:tcPr>
            <w:tcW w:w="6095" w:type="dxa"/>
          </w:tcPr>
          <w:p w14:paraId="327E6320" w14:textId="77777777" w:rsidR="007C1482" w:rsidRPr="00ED3962" w:rsidRDefault="007C1482"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on üheselt arusaadav m</w:t>
            </w:r>
            <w:r w:rsidRPr="00ED3962">
              <w:rPr>
                <w:rFonts w:ascii="Myriad Pro" w:hAnsi="Myriad Pro" w:cs="Tahoma"/>
                <w:color w:val="00698C"/>
                <w:sz w:val="18"/>
                <w:szCs w:val="18"/>
                <w:lang w:val="et-EE"/>
              </w:rPr>
              <w:t>iks kaasata</w:t>
            </w:r>
            <w:r>
              <w:rPr>
                <w:rFonts w:ascii="Myriad Pro" w:hAnsi="Myriad Pro" w:cs="Tahoma"/>
                <w:color w:val="00698C"/>
                <w:sz w:val="18"/>
                <w:szCs w:val="18"/>
                <w:lang w:val="et-EE"/>
              </w:rPr>
              <w:t>kse</w:t>
            </w:r>
            <w:r w:rsidRPr="00ED3962">
              <w:rPr>
                <w:rFonts w:ascii="Myriad Pro" w:hAnsi="Myriad Pro" w:cs="Tahoma"/>
                <w:color w:val="00698C"/>
                <w:sz w:val="18"/>
                <w:szCs w:val="18"/>
                <w:lang w:val="et-EE"/>
              </w:rPr>
              <w:t>?</w:t>
            </w:r>
          </w:p>
        </w:tc>
      </w:tr>
      <w:tr w:rsidR="007C1482" w:rsidRPr="00731B28" w14:paraId="4E106C5F" w14:textId="77777777" w:rsidTr="000E1CA1">
        <w:trPr>
          <w:cnfStyle w:val="000000100000" w:firstRow="0" w:lastRow="0" w:firstColumn="0" w:lastColumn="0" w:oddVBand="0" w:evenVBand="0" w:oddHBand="1" w:evenHBand="0" w:firstRowFirstColumn="0" w:firstRowLastColumn="0" w:lastRowFirstColumn="0" w:lastRowLastColumn="0"/>
          <w:trHeight w:val="2090"/>
        </w:trPr>
        <w:tc>
          <w:tcPr>
            <w:cnfStyle w:val="001000000000" w:firstRow="0" w:lastRow="0" w:firstColumn="1" w:lastColumn="0" w:oddVBand="0" w:evenVBand="0" w:oddHBand="0" w:evenHBand="0" w:firstRowFirstColumn="0" w:firstRowLastColumn="0" w:lastRowFirstColumn="0" w:lastRowLastColumn="0"/>
            <w:tcW w:w="7905" w:type="dxa"/>
          </w:tcPr>
          <w:p w14:paraId="5DBA9109" w14:textId="77777777" w:rsidR="007C1482" w:rsidRPr="00ED3962" w:rsidRDefault="007C1482" w:rsidP="00157AE8">
            <w:pPr>
              <w:numPr>
                <w:ilvl w:val="1"/>
                <w:numId w:val="1"/>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1.2 Kaasamine kaasamise hea tava mõistes seisneb otsuste kujundamisel huvirühmade ja avalikkuse informeerimises ja nendega konsulteerimises. Informeerimine seisneb huvirühmadele ja avalikkusele tasakaalustatud ja objektiivse informatsiooni edastamises, mis võimaldab mõista otsuse tegemise eesmärki ja lahendusvõimalusi. Avalik konsulteerimine seisneb huvirühmadelt ja avalikkuselt tagasiside küsimises poliitikakujundamise kõigis etappides, sealhulgas probleemide püstitamisel, eesmärkide kindlaksmääramisel, lahendusvõimaluste analüüsimisel ja otsuse kavandi koostamisel.</w:t>
            </w:r>
          </w:p>
        </w:tc>
        <w:tc>
          <w:tcPr>
            <w:tcW w:w="6095" w:type="dxa"/>
          </w:tcPr>
          <w:p w14:paraId="595AE0C8" w14:textId="77777777" w:rsidR="007C1482" w:rsidRDefault="00211001"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w:t>
            </w:r>
            <w:r w:rsidR="007C1482" w:rsidRPr="00ED3962">
              <w:rPr>
                <w:rFonts w:ascii="Myriad Pro" w:hAnsi="Myriad Pro" w:cs="Tahoma"/>
                <w:color w:val="00698C"/>
                <w:sz w:val="18"/>
                <w:szCs w:val="18"/>
                <w:lang w:val="et-EE"/>
              </w:rPr>
              <w:t xml:space="preserve">tagasisidet </w:t>
            </w:r>
            <w:r>
              <w:rPr>
                <w:rFonts w:ascii="Myriad Pro" w:hAnsi="Myriad Pro" w:cs="Tahoma"/>
                <w:color w:val="00698C"/>
                <w:sz w:val="18"/>
                <w:szCs w:val="18"/>
                <w:lang w:val="et-EE"/>
              </w:rPr>
              <w:t xml:space="preserve">küsitakse </w:t>
            </w:r>
            <w:r w:rsidR="007C1482" w:rsidRPr="00ED3962">
              <w:rPr>
                <w:rFonts w:ascii="Myriad Pro" w:hAnsi="Myriad Pro" w:cs="Tahoma"/>
                <w:color w:val="00698C"/>
                <w:sz w:val="18"/>
                <w:szCs w:val="18"/>
                <w:lang w:val="et-EE"/>
              </w:rPr>
              <w:t xml:space="preserve">kõigis etappides? </w:t>
            </w:r>
          </w:p>
          <w:p w14:paraId="0E6E42AF" w14:textId="77777777" w:rsidR="007C1482" w:rsidRPr="00E03B46" w:rsidRDefault="007C1482" w:rsidP="00157AE8">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03B46">
              <w:rPr>
                <w:rFonts w:ascii="Myriad Pro" w:hAnsi="Myriad Pro" w:cs="Tahoma"/>
                <w:color w:val="00698C"/>
                <w:sz w:val="18"/>
                <w:szCs w:val="18"/>
                <w:lang w:val="et-EE"/>
              </w:rPr>
              <w:t>Probleemide püstitamine</w:t>
            </w:r>
          </w:p>
          <w:p w14:paraId="3700E7E0" w14:textId="77777777" w:rsidR="007C1482" w:rsidRPr="00E03B46" w:rsidRDefault="007C1482" w:rsidP="00157AE8">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03B46">
              <w:rPr>
                <w:rFonts w:ascii="Myriad Pro" w:hAnsi="Myriad Pro" w:cs="Tahoma"/>
                <w:color w:val="00698C"/>
                <w:sz w:val="18"/>
                <w:szCs w:val="18"/>
                <w:lang w:val="et-EE"/>
              </w:rPr>
              <w:t>Eesmärgi seadmine</w:t>
            </w:r>
          </w:p>
          <w:p w14:paraId="38CC4DF9" w14:textId="77777777" w:rsidR="007C1482" w:rsidRPr="00E03B46" w:rsidRDefault="007C1482" w:rsidP="00157AE8">
            <w:pPr>
              <w:pStyle w:val="ListParagraph"/>
              <w:numPr>
                <w:ilvl w:val="0"/>
                <w:numId w:val="7"/>
              </w:num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03B46">
              <w:rPr>
                <w:rFonts w:ascii="Myriad Pro" w:hAnsi="Myriad Pro" w:cs="Tahoma"/>
                <w:color w:val="00698C"/>
                <w:sz w:val="18"/>
                <w:szCs w:val="18"/>
                <w:lang w:val="et-EE"/>
              </w:rPr>
              <w:t xml:space="preserve">Lahendusvõimalused </w:t>
            </w:r>
          </w:p>
          <w:p w14:paraId="10D81BE2" w14:textId="77777777" w:rsidR="005F7F93" w:rsidRDefault="007C1482" w:rsidP="005F7F93">
            <w:pPr>
              <w:pStyle w:val="ListParagraph"/>
              <w:numPr>
                <w:ilvl w:val="0"/>
                <w:numId w:val="7"/>
              </w:num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03B46">
              <w:rPr>
                <w:rFonts w:ascii="Myriad Pro" w:hAnsi="Myriad Pro" w:cs="Tahoma"/>
                <w:color w:val="00698C"/>
                <w:sz w:val="18"/>
                <w:szCs w:val="18"/>
                <w:lang w:val="et-EE"/>
              </w:rPr>
              <w:t xml:space="preserve">Otsuse kavandi koostamine </w:t>
            </w:r>
          </w:p>
          <w:p w14:paraId="4DB25915" w14:textId="77777777" w:rsidR="007C1482" w:rsidRPr="005F7F93" w:rsidRDefault="007C1482" w:rsidP="005F7F93">
            <w:pPr>
              <w:pStyle w:val="ListParagraph"/>
              <w:spacing w:after="270"/>
              <w:ind w:left="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5F7F93">
              <w:rPr>
                <w:rFonts w:ascii="Myriad Pro" w:hAnsi="Myriad Pro" w:cs="Tahoma"/>
                <w:color w:val="00698C"/>
                <w:sz w:val="18"/>
                <w:szCs w:val="18"/>
                <w:lang w:val="et-EE"/>
              </w:rPr>
              <w:t>Millal ja kuidas info avalikustatakse? Kas igas etapis võimalik teha konsulteerimise vahekokkuvõtteid? Kas informeerimine on piisav</w:t>
            </w:r>
            <w:r w:rsidR="00211001" w:rsidRPr="005F7F93">
              <w:rPr>
                <w:rFonts w:ascii="Myriad Pro" w:hAnsi="Myriad Pro" w:cs="Tahoma"/>
                <w:color w:val="00698C"/>
                <w:sz w:val="18"/>
                <w:szCs w:val="18"/>
                <w:lang w:val="et-EE"/>
              </w:rPr>
              <w:t xml:space="preserve"> kõigini jõudmiseks</w:t>
            </w:r>
            <w:r w:rsidRPr="005F7F93">
              <w:rPr>
                <w:rFonts w:ascii="Myriad Pro" w:hAnsi="Myriad Pro" w:cs="Tahoma"/>
                <w:color w:val="00698C"/>
                <w:sz w:val="18"/>
                <w:szCs w:val="18"/>
                <w:lang w:val="et-EE"/>
              </w:rPr>
              <w:t xml:space="preserve">? Tasakaalustatud? Objektiivne? </w:t>
            </w:r>
          </w:p>
        </w:tc>
      </w:tr>
      <w:tr w:rsidR="007C1482" w:rsidRPr="00731B28" w14:paraId="797C92A0"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671A4802" w14:textId="77777777" w:rsidR="007C1482" w:rsidRPr="00ED3962" w:rsidRDefault="007C1482" w:rsidP="00157AE8">
            <w:pPr>
              <w:numPr>
                <w:ilvl w:val="1"/>
                <w:numId w:val="1"/>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1.3 Kaasamist rakendatakse selliste poliitikaalgatuste väljatöötamisel, millel on arvestatav mõju huvirühmadele või mis mõjutavad kogu ühiskonda. Juhindutakse põhimõttest, et mida suurema mõjuga on otsus, seda suurem peaks olema osalemisvõimalus.</w:t>
            </w:r>
          </w:p>
        </w:tc>
        <w:tc>
          <w:tcPr>
            <w:tcW w:w="6095" w:type="dxa"/>
          </w:tcPr>
          <w:p w14:paraId="76496A36" w14:textId="77462FA2" w:rsidR="007C1482" w:rsidRPr="00ED3962" w:rsidRDefault="000C6420"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kaasamise ulatus piisavalt lai? Kas meetodid ja kanalid piisavalt mitmekesised</w:t>
            </w:r>
            <w:r w:rsidR="00AB6BA4">
              <w:rPr>
                <w:rFonts w:ascii="Myriad Pro" w:hAnsi="Myriad Pro" w:cs="Tahoma"/>
                <w:color w:val="00698C"/>
                <w:sz w:val="18"/>
                <w:szCs w:val="18"/>
                <w:lang w:val="et-EE"/>
              </w:rPr>
              <w:t xml:space="preserve"> erinevate gruppideni jõudmiseks</w:t>
            </w:r>
            <w:r>
              <w:rPr>
                <w:rFonts w:ascii="Myriad Pro" w:hAnsi="Myriad Pro" w:cs="Tahoma"/>
                <w:color w:val="00698C"/>
                <w:sz w:val="18"/>
                <w:szCs w:val="18"/>
                <w:lang w:val="et-EE"/>
              </w:rPr>
              <w:t xml:space="preserve">? </w:t>
            </w:r>
            <w:r w:rsidR="00AB6BA4">
              <w:rPr>
                <w:rFonts w:ascii="Myriad Pro" w:hAnsi="Myriad Pro" w:cs="Tahoma"/>
                <w:color w:val="00698C"/>
                <w:sz w:val="18"/>
                <w:szCs w:val="18"/>
                <w:lang w:val="et-EE"/>
              </w:rPr>
              <w:t>Kas kasutatud e</w:t>
            </w:r>
            <w:r w:rsidR="007C1482" w:rsidRPr="00ED3962">
              <w:rPr>
                <w:rFonts w:ascii="Myriad Pro" w:hAnsi="Myriad Pro" w:cs="Tahoma"/>
                <w:color w:val="00698C"/>
                <w:sz w:val="18"/>
                <w:szCs w:val="18"/>
                <w:lang w:val="et-EE"/>
              </w:rPr>
              <w:t>rineva</w:t>
            </w:r>
            <w:r w:rsidR="00AB6BA4">
              <w:rPr>
                <w:rFonts w:ascii="Myriad Pro" w:hAnsi="Myriad Pro" w:cs="Tahoma"/>
                <w:color w:val="00698C"/>
                <w:sz w:val="18"/>
                <w:szCs w:val="18"/>
                <w:lang w:val="et-EE"/>
              </w:rPr>
              <w:t>i</w:t>
            </w:r>
            <w:r w:rsidR="007C1482" w:rsidRPr="00ED3962">
              <w:rPr>
                <w:rFonts w:ascii="Myriad Pro" w:hAnsi="Myriad Pro" w:cs="Tahoma"/>
                <w:color w:val="00698C"/>
                <w:sz w:val="18"/>
                <w:szCs w:val="18"/>
                <w:lang w:val="et-EE"/>
              </w:rPr>
              <w:t xml:space="preserve">d </w:t>
            </w:r>
            <w:r w:rsidR="00AB6BA4">
              <w:rPr>
                <w:rFonts w:ascii="Myriad Pro" w:hAnsi="Myriad Pro" w:cs="Tahoma"/>
                <w:color w:val="00698C"/>
                <w:sz w:val="18"/>
                <w:szCs w:val="18"/>
                <w:lang w:val="et-EE"/>
              </w:rPr>
              <w:t>kaasamise-</w:t>
            </w:r>
            <w:r w:rsidR="007C1482" w:rsidRPr="00ED3962">
              <w:rPr>
                <w:rFonts w:ascii="Myriad Pro" w:hAnsi="Myriad Pro" w:cs="Tahoma"/>
                <w:color w:val="00698C"/>
                <w:sz w:val="18"/>
                <w:szCs w:val="18"/>
                <w:lang w:val="et-EE"/>
              </w:rPr>
              <w:t>osalemis</w:t>
            </w:r>
            <w:r>
              <w:rPr>
                <w:rFonts w:ascii="Myriad Pro" w:hAnsi="Myriad Pro" w:cs="Tahoma"/>
                <w:color w:val="00698C"/>
                <w:sz w:val="18"/>
                <w:szCs w:val="18"/>
                <w:lang w:val="et-EE"/>
              </w:rPr>
              <w:t xml:space="preserve">e </w:t>
            </w:r>
            <w:r w:rsidR="00AB6BA4">
              <w:rPr>
                <w:rFonts w:ascii="Myriad Pro" w:hAnsi="Myriad Pro" w:cs="Tahoma"/>
                <w:color w:val="00698C"/>
                <w:sz w:val="18"/>
                <w:szCs w:val="18"/>
                <w:lang w:val="et-EE"/>
              </w:rPr>
              <w:t>tööriis</w:t>
            </w:r>
            <w:r w:rsidR="005F3B80">
              <w:rPr>
                <w:rFonts w:ascii="Myriad Pro" w:hAnsi="Myriad Pro" w:cs="Tahoma"/>
                <w:color w:val="00698C"/>
                <w:sz w:val="18"/>
                <w:szCs w:val="18"/>
                <w:lang w:val="et-EE"/>
              </w:rPr>
              <w:t>t</w:t>
            </w:r>
            <w:r w:rsidR="00AB6BA4">
              <w:rPr>
                <w:rFonts w:ascii="Myriad Pro" w:hAnsi="Myriad Pro" w:cs="Tahoma"/>
                <w:color w:val="00698C"/>
                <w:sz w:val="18"/>
                <w:szCs w:val="18"/>
                <w:lang w:val="et-EE"/>
              </w:rPr>
              <w:t>u</w:t>
            </w:r>
            <w:r w:rsidR="005F3B80">
              <w:rPr>
                <w:rFonts w:ascii="Myriad Pro" w:hAnsi="Myriad Pro" w:cs="Tahoma"/>
                <w:color w:val="00698C"/>
                <w:sz w:val="18"/>
                <w:szCs w:val="18"/>
                <w:lang w:val="et-EE"/>
              </w:rPr>
              <w:t>/platvorme</w:t>
            </w:r>
            <w:r w:rsidR="007C1482" w:rsidRPr="00ED3962">
              <w:rPr>
                <w:rFonts w:ascii="Myriad Pro" w:hAnsi="Myriad Pro" w:cs="Tahoma"/>
                <w:color w:val="00698C"/>
                <w:sz w:val="18"/>
                <w:szCs w:val="18"/>
                <w:lang w:val="et-EE"/>
              </w:rPr>
              <w:t>?</w:t>
            </w:r>
          </w:p>
        </w:tc>
      </w:tr>
      <w:tr w:rsidR="007C1482" w:rsidRPr="00731B28" w14:paraId="5F8982FF" w14:textId="77777777" w:rsidTr="000E1CA1">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905" w:type="dxa"/>
          </w:tcPr>
          <w:p w14:paraId="3B11EB74" w14:textId="77777777" w:rsidR="007C1482" w:rsidRPr="00ED3962" w:rsidRDefault="007C1482" w:rsidP="00157AE8">
            <w:pPr>
              <w:spacing w:after="270" w:line="276" w:lineRule="auto"/>
              <w:textAlignment w:val="baseline"/>
              <w:rPr>
                <w:rFonts w:ascii="Myriad Pro" w:hAnsi="Myriad Pro" w:cs="Tahoma"/>
                <w:b w:val="0"/>
                <w:color w:val="00698C"/>
                <w:sz w:val="18"/>
                <w:szCs w:val="18"/>
                <w:lang w:val="et-EE"/>
              </w:rPr>
            </w:pPr>
            <w:r w:rsidRPr="00ED3962">
              <w:rPr>
                <w:rFonts w:ascii="Myriad Pro" w:eastAsia="Times New Roman" w:hAnsi="Myriad Pro" w:cs="Tahoma"/>
                <w:b w:val="0"/>
                <w:color w:val="333333"/>
                <w:sz w:val="18"/>
                <w:szCs w:val="18"/>
                <w:lang w:val="et-EE"/>
              </w:rPr>
              <w:t>1.4 Kaasamise vajalikkus ja ulatus otsustatakse mõjude hindamise käigus ning kaasamine viiakse läbi hinnanguliselt olulise mõjuga või olulist huvi äratava eelnõu ettevalmistamise käigus.</w:t>
            </w:r>
          </w:p>
        </w:tc>
        <w:tc>
          <w:tcPr>
            <w:tcW w:w="6095" w:type="dxa"/>
          </w:tcPr>
          <w:p w14:paraId="39828733" w14:textId="77777777" w:rsidR="00E2236E" w:rsidRPr="00E0775F" w:rsidRDefault="007617B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Kuidas mõjude hindamisse välist ekspertiisi ja kogemust kaasata</w:t>
            </w:r>
            <w:r w:rsidR="00E2236E">
              <w:rPr>
                <w:rFonts w:ascii="Myriad Pro" w:hAnsi="Myriad Pro" w:cs="Tahoma"/>
                <w:color w:val="00698C"/>
                <w:sz w:val="18"/>
                <w:szCs w:val="18"/>
                <w:lang w:val="et-EE"/>
              </w:rPr>
              <w:t>?</w:t>
            </w:r>
          </w:p>
        </w:tc>
      </w:tr>
      <w:tr w:rsidR="007C1482" w:rsidRPr="00731B28" w14:paraId="2F51B934"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397357D0" w14:textId="77777777" w:rsidR="007C1482" w:rsidRPr="00ED3962" w:rsidRDefault="007C1482" w:rsidP="00157AE8">
            <w:pPr>
              <w:numPr>
                <w:ilvl w:val="1"/>
                <w:numId w:val="1"/>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1.5 Kaasamist kohaldatakse nii Riigikogu, Vabariigi Valitsuse kui ka ministri tasandil antava õigusakti või otsustatava küsimuse ettevalmistamise käigus. Samuti kohaldatakse kaasamise head tava Euroopa Liidu asjades seisukohtade kujundamisele.</w:t>
            </w:r>
          </w:p>
        </w:tc>
        <w:tc>
          <w:tcPr>
            <w:tcW w:w="6095" w:type="dxa"/>
          </w:tcPr>
          <w:p w14:paraId="18FCA4FA" w14:textId="77777777" w:rsidR="007C1482" w:rsidRPr="00ED3962" w:rsidRDefault="007C1482"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p>
        </w:tc>
      </w:tr>
      <w:tr w:rsidR="007C1482" w:rsidRPr="00731B28" w14:paraId="27D00560"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D3AC413" w14:textId="77777777" w:rsidR="007C1482" w:rsidRPr="00ED3962" w:rsidRDefault="007C1482" w:rsidP="00157AE8">
            <w:pPr>
              <w:spacing w:after="270" w:line="276" w:lineRule="auto"/>
              <w:textAlignment w:val="baseline"/>
              <w:rPr>
                <w:rFonts w:ascii="Myriad Pro" w:hAnsi="Myriad Pro" w:cs="Tahoma"/>
                <w:b w:val="0"/>
                <w:color w:val="00698C"/>
                <w:sz w:val="18"/>
                <w:szCs w:val="18"/>
                <w:lang w:val="et-EE"/>
              </w:rPr>
            </w:pPr>
            <w:r w:rsidRPr="00ED3962">
              <w:rPr>
                <w:rFonts w:ascii="Myriad Pro" w:eastAsia="Times New Roman" w:hAnsi="Myriad Pro" w:cs="Tahoma"/>
                <w:b w:val="0"/>
                <w:color w:val="333333"/>
                <w:sz w:val="18"/>
                <w:szCs w:val="18"/>
                <w:lang w:val="et-EE"/>
              </w:rPr>
              <w:t>2.1 Valitsusasutus hindab kavandatava otsuse mõju huvirühmadele ja ühiskonnale laiemalt vastavalt mõjude hindamise metoodikale ning otsustab kaasamise vajaduse, ulatuse ning ajastuse. Mõjude väljaselgitamiseks lähtutakse Vabariigi Valitsuse kinnitatud mõjude hindamise metoodikast.</w:t>
            </w:r>
          </w:p>
        </w:tc>
        <w:tc>
          <w:tcPr>
            <w:tcW w:w="6095" w:type="dxa"/>
          </w:tcPr>
          <w:p w14:paraId="0280F1FC" w14:textId="77777777" w:rsidR="007C1482" w:rsidRPr="00ED3962" w:rsidRDefault="007C148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Kes, mille alusel ja kuidas otsustavad vajaduse, ulatuse ning ajastuse? Kuidas ja mille alusel otsustada</w:t>
            </w:r>
            <w:r w:rsidR="00355757">
              <w:rPr>
                <w:rFonts w:ascii="Myriad Pro" w:hAnsi="Myriad Pro" w:cs="Tahoma"/>
                <w:color w:val="00698C"/>
                <w:sz w:val="18"/>
                <w:szCs w:val="18"/>
                <w:lang w:val="et-EE"/>
              </w:rPr>
              <w:t xml:space="preserve"> milline on võimalik</w:t>
            </w:r>
            <w:r w:rsidRPr="00ED3962">
              <w:rPr>
                <w:rFonts w:ascii="Myriad Pro" w:hAnsi="Myriad Pro" w:cs="Tahoma"/>
                <w:color w:val="00698C"/>
                <w:sz w:val="18"/>
                <w:szCs w:val="18"/>
                <w:lang w:val="et-EE"/>
              </w:rPr>
              <w:t xml:space="preserve"> mõju huvirühmadele ja ühiskonnale laiemalt?</w:t>
            </w:r>
          </w:p>
        </w:tc>
      </w:tr>
      <w:tr w:rsidR="007C1482" w:rsidRPr="00731B28" w14:paraId="127C760B"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726AE986" w14:textId="77777777" w:rsidR="007C1482" w:rsidRPr="00ED3962" w:rsidRDefault="007C1482" w:rsidP="00157AE8">
            <w:pPr>
              <w:numPr>
                <w:ilvl w:val="1"/>
                <w:numId w:val="2"/>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2.2 Valitsusasutus selgitab välja huvirühmad, keda väljatöötatav otsus mõjutab. Huvirühmaks võib olla nii füüsiliste isikute kogum kui ka juriidiline isik või mitteformaalne ühendus, keda kavandatav otsus võib mõjutada, kes osalevad otsuse rakendamisel või kellel on selgelt väljendatud huvid otsustatavas valdkonnas. Kaasamisel on oluline tagada huvide tasakaalustatud esindatus.</w:t>
            </w:r>
          </w:p>
        </w:tc>
        <w:tc>
          <w:tcPr>
            <w:tcW w:w="6095" w:type="dxa"/>
          </w:tcPr>
          <w:p w14:paraId="0A8DACA0" w14:textId="77777777" w:rsidR="00355757" w:rsidRDefault="007C1482"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huvirühmade kaardistusel on arvestatud</w:t>
            </w:r>
            <w:r w:rsidR="00355757">
              <w:rPr>
                <w:rFonts w:ascii="Myriad Pro" w:hAnsi="Myriad Pro" w:cs="Tahoma"/>
                <w:color w:val="00698C"/>
                <w:sz w:val="18"/>
                <w:szCs w:val="18"/>
                <w:lang w:val="et-EE"/>
              </w:rPr>
              <w:t xml:space="preserve"> nii</w:t>
            </w:r>
            <w:r>
              <w:rPr>
                <w:rFonts w:ascii="Myriad Pro" w:hAnsi="Myriad Pro" w:cs="Tahoma"/>
                <w:color w:val="00698C"/>
                <w:sz w:val="18"/>
                <w:szCs w:val="18"/>
                <w:lang w:val="et-EE"/>
              </w:rPr>
              <w:t xml:space="preserve">: </w:t>
            </w:r>
          </w:p>
          <w:p w14:paraId="78241BD0" w14:textId="77777777" w:rsidR="00606A6C" w:rsidRPr="009D08AF" w:rsidRDefault="007C1482" w:rsidP="00157AE8">
            <w:pPr>
              <w:pStyle w:val="ListParagraph"/>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1F497D" w:themeColor="text2"/>
                <w:sz w:val="18"/>
                <w:szCs w:val="18"/>
                <w:lang w:val="et-EE"/>
              </w:rPr>
            </w:pPr>
            <w:r w:rsidRPr="009D08AF">
              <w:rPr>
                <w:rFonts w:ascii="Myriad Pro" w:hAnsi="Myriad Pro" w:cs="Tahoma"/>
                <w:color w:val="1F497D" w:themeColor="text2"/>
                <w:sz w:val="18"/>
                <w:szCs w:val="18"/>
                <w:lang w:val="et-EE"/>
              </w:rPr>
              <w:t>organiseerunud kui organiseerumata</w:t>
            </w:r>
            <w:r w:rsidR="00355757" w:rsidRPr="009D08AF">
              <w:rPr>
                <w:rFonts w:ascii="Myriad Pro" w:hAnsi="Myriad Pro" w:cs="Tahoma"/>
                <w:color w:val="1F497D" w:themeColor="text2"/>
                <w:sz w:val="18"/>
                <w:szCs w:val="18"/>
                <w:lang w:val="et-EE"/>
              </w:rPr>
              <w:t xml:space="preserve"> rühmadega</w:t>
            </w:r>
            <w:r w:rsidRPr="009D08AF">
              <w:rPr>
                <w:rFonts w:ascii="Myriad Pro" w:hAnsi="Myriad Pro" w:cs="Tahoma"/>
                <w:color w:val="1F497D" w:themeColor="text2"/>
                <w:sz w:val="18"/>
                <w:szCs w:val="18"/>
                <w:lang w:val="et-EE"/>
              </w:rPr>
              <w:t xml:space="preserve">? </w:t>
            </w:r>
          </w:p>
          <w:p w14:paraId="1C4BE26A" w14:textId="77777777" w:rsidR="00355757" w:rsidRPr="009D08AF" w:rsidRDefault="00606A6C" w:rsidP="00157AE8">
            <w:pPr>
              <w:pStyle w:val="ListParagraph"/>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1F497D" w:themeColor="text2"/>
                <w:sz w:val="18"/>
                <w:szCs w:val="18"/>
                <w:lang w:val="et-EE"/>
              </w:rPr>
            </w:pPr>
            <w:r w:rsidRPr="009D08AF">
              <w:rPr>
                <w:rFonts w:ascii="Myriad Pro" w:hAnsi="Myriad Pro" w:cs="Tahoma"/>
                <w:color w:val="1F497D" w:themeColor="text2"/>
                <w:sz w:val="18"/>
                <w:szCs w:val="18"/>
                <w:lang w:val="et-EE"/>
              </w:rPr>
              <w:t>nn</w:t>
            </w:r>
            <w:r w:rsidR="007C1482" w:rsidRPr="009D08AF">
              <w:rPr>
                <w:rFonts w:ascii="Myriad Pro" w:hAnsi="Myriad Pro" w:cs="Tahoma"/>
                <w:color w:val="1F497D" w:themeColor="text2"/>
                <w:sz w:val="18"/>
                <w:szCs w:val="18"/>
                <w:lang w:val="et-EE"/>
              </w:rPr>
              <w:t xml:space="preserve"> </w:t>
            </w:r>
            <w:r w:rsidRPr="009D08AF">
              <w:rPr>
                <w:rFonts w:ascii="Myriad Pro" w:hAnsi="Myriad Pro" w:cs="Tahoma"/>
                <w:color w:val="1F497D" w:themeColor="text2"/>
                <w:sz w:val="18"/>
                <w:szCs w:val="18"/>
                <w:lang w:val="et-EE"/>
              </w:rPr>
              <w:t>peidus partneritega?</w:t>
            </w:r>
          </w:p>
          <w:p w14:paraId="2639CD0F" w14:textId="77777777" w:rsidR="007C1482" w:rsidRPr="00EE1BB1" w:rsidRDefault="00EE1BB1"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4F81BD" w:themeColor="accent1"/>
                <w:sz w:val="18"/>
                <w:szCs w:val="18"/>
                <w:lang w:val="et-EE"/>
              </w:rPr>
            </w:pPr>
            <w:r w:rsidRPr="009D08AF">
              <w:rPr>
                <w:rFonts w:ascii="Myriad Pro" w:hAnsi="Myriad Pro" w:cs="Tahoma"/>
                <w:color w:val="1F497D" w:themeColor="text2"/>
                <w:sz w:val="18"/>
                <w:szCs w:val="18"/>
                <w:lang w:val="et-EE"/>
              </w:rPr>
              <w:t>Kas huvid on tasakaalustatult esindatud</w:t>
            </w:r>
            <w:r w:rsidR="007C1482" w:rsidRPr="009D08AF">
              <w:rPr>
                <w:rFonts w:ascii="Myriad Pro" w:hAnsi="Myriad Pro" w:cs="Tahoma"/>
                <w:color w:val="1F497D" w:themeColor="text2"/>
                <w:sz w:val="18"/>
                <w:szCs w:val="18"/>
                <w:lang w:val="et-EE"/>
              </w:rPr>
              <w:t>?</w:t>
            </w:r>
            <w:r w:rsidR="007C1482" w:rsidRPr="00EE1BB1">
              <w:rPr>
                <w:rFonts w:ascii="Myriad Pro" w:hAnsi="Myriad Pro" w:cs="Tahoma"/>
                <w:color w:val="4F81BD" w:themeColor="accent1"/>
                <w:sz w:val="18"/>
                <w:szCs w:val="18"/>
                <w:lang w:val="et-EE"/>
              </w:rPr>
              <w:t xml:space="preserve"> </w:t>
            </w:r>
          </w:p>
        </w:tc>
      </w:tr>
      <w:tr w:rsidR="007C1482" w:rsidRPr="00731B28" w14:paraId="3481CA9B"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4BC9434F" w14:textId="77777777" w:rsidR="007C1482" w:rsidRPr="00ED3962" w:rsidRDefault="007C1482" w:rsidP="00157AE8">
            <w:pPr>
              <w:numPr>
                <w:ilvl w:val="1"/>
                <w:numId w:val="2"/>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lastRenderedPageBreak/>
              <w:t>2.3 Huvirühmade ringi laiendatakse kaasamise käigus vajaduse järgi. Osalemine ei eelda juriidiliselt määratletud staatust või juriidilist suhet otsust ettevalmistava asutusega. Avalikkuse kaasamises võib esineda erinevusi huvirühmade kaasamisest kaasamise viisis ja ajastuses, lähtudes otstarbekusest.</w:t>
            </w:r>
          </w:p>
        </w:tc>
        <w:tc>
          <w:tcPr>
            <w:tcW w:w="6095" w:type="dxa"/>
          </w:tcPr>
          <w:p w14:paraId="03281A33" w14:textId="77777777" w:rsidR="007C1482" w:rsidRPr="00ED3962" w:rsidRDefault="006623EA"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osalemise võimalus on ka avalikkusel (st neil, kes pole kutsutud)? </w:t>
            </w:r>
            <w:r w:rsidR="007C1482">
              <w:rPr>
                <w:rFonts w:ascii="Myriad Pro" w:hAnsi="Myriad Pro" w:cs="Tahoma"/>
                <w:color w:val="00698C"/>
                <w:sz w:val="18"/>
                <w:szCs w:val="18"/>
                <w:lang w:val="et-EE"/>
              </w:rPr>
              <w:t>Kas konsultatsioon on piisavalt avalik?</w:t>
            </w:r>
          </w:p>
        </w:tc>
      </w:tr>
      <w:tr w:rsidR="007C1482" w:rsidRPr="00731B28" w14:paraId="67189CEF"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72465900" w14:textId="77777777" w:rsidR="007C1482" w:rsidRPr="00ED3962" w:rsidRDefault="007C1482" w:rsidP="00157AE8">
            <w:pPr>
              <w:numPr>
                <w:ilvl w:val="1"/>
                <w:numId w:val="3"/>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3.1 Ministeeriumidel tuleb hiljemalt seaduseelnõu väljatöötamise kavatsuse või arengukava koostamise ettepaneku kooskõlastamisele saatmise ajaks määrata kindlaks kaasatavad huvirühmad, eelnõu menetlusetapid ja esialgsed tähtajad ning eelnõu väljatöötamise eest vastutava ametniku nimi ja kontaktandmed. Nimetatud informatsioon esitatakse seaduseelnõu väljatöötamise kavatsuse või arengukava koostamise ettepaneku juures. Ministeerium teeb oma veebilehel kättesaadavaks kaasamisküsimustes informatsiooni jagava struktuuriüksuse või ametniku kontaktandmed.</w:t>
            </w:r>
          </w:p>
        </w:tc>
        <w:tc>
          <w:tcPr>
            <w:tcW w:w="6095" w:type="dxa"/>
          </w:tcPr>
          <w:p w14:paraId="0FD14ACA" w14:textId="77777777" w:rsidR="007C1482" w:rsidRPr="00ED3962" w:rsidRDefault="00BF3CE8"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defineeritud </w:t>
            </w:r>
            <w:r w:rsidR="007C1482" w:rsidRPr="00ED3962">
              <w:rPr>
                <w:rFonts w:ascii="Myriad Pro" w:hAnsi="Myriad Pro" w:cs="Tahoma"/>
                <w:color w:val="00698C"/>
                <w:sz w:val="18"/>
                <w:szCs w:val="18"/>
                <w:lang w:val="et-EE"/>
              </w:rPr>
              <w:t xml:space="preserve">on: </w:t>
            </w:r>
          </w:p>
          <w:p w14:paraId="6B2EEF89" w14:textId="77777777" w:rsidR="007C1482" w:rsidRPr="006623EA" w:rsidRDefault="007C1482" w:rsidP="00157AE8">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6623EA">
              <w:rPr>
                <w:rFonts w:ascii="Myriad Pro" w:hAnsi="Myriad Pro" w:cs="Tahoma"/>
                <w:color w:val="00698C"/>
                <w:sz w:val="18"/>
                <w:szCs w:val="18"/>
                <w:lang w:val="et-EE"/>
              </w:rPr>
              <w:t>kaasatavad huvirühmad?</w:t>
            </w:r>
          </w:p>
          <w:p w14:paraId="02A857E7" w14:textId="77777777" w:rsidR="007C1482" w:rsidRPr="006623EA" w:rsidRDefault="001C630E" w:rsidP="00157AE8">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6623EA">
              <w:rPr>
                <w:rFonts w:ascii="Myriad Pro" w:hAnsi="Myriad Pro" w:cs="Tahoma"/>
                <w:color w:val="00698C"/>
                <w:sz w:val="18"/>
                <w:szCs w:val="18"/>
                <w:lang w:val="et-EE"/>
              </w:rPr>
              <w:t xml:space="preserve">kus ja kuidas avaldatud </w:t>
            </w:r>
            <w:r w:rsidR="007C1482" w:rsidRPr="006623EA">
              <w:rPr>
                <w:rFonts w:ascii="Myriad Pro" w:hAnsi="Myriad Pro" w:cs="Tahoma"/>
                <w:color w:val="00698C"/>
                <w:sz w:val="18"/>
                <w:szCs w:val="18"/>
                <w:lang w:val="et-EE"/>
              </w:rPr>
              <w:t>kontaktandmed?</w:t>
            </w:r>
          </w:p>
          <w:p w14:paraId="0F40F996" w14:textId="77777777" w:rsidR="007C1482" w:rsidRPr="006623EA" w:rsidRDefault="007C1482" w:rsidP="00157AE8">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6623EA">
              <w:rPr>
                <w:rFonts w:ascii="Myriad Pro" w:hAnsi="Myriad Pro" w:cs="Tahoma"/>
                <w:color w:val="00698C"/>
                <w:sz w:val="18"/>
                <w:szCs w:val="18"/>
                <w:lang w:val="et-EE"/>
              </w:rPr>
              <w:t xml:space="preserve">menetlusetapid ja tähtajad (kas vormiks kaasamise kava?) </w:t>
            </w:r>
          </w:p>
          <w:p w14:paraId="4AB3999B" w14:textId="77777777" w:rsidR="007C1482" w:rsidRPr="00ED3962" w:rsidRDefault="007C1482"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 xml:space="preserve">Kus avaldatakse (EIS, kaasamisrubriik)? </w:t>
            </w:r>
          </w:p>
        </w:tc>
      </w:tr>
      <w:tr w:rsidR="007C1482" w:rsidRPr="00731B28" w14:paraId="113213C8" w14:textId="77777777" w:rsidTr="000E1CA1">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7905" w:type="dxa"/>
          </w:tcPr>
          <w:p w14:paraId="36495D8F" w14:textId="77777777" w:rsidR="007C1482" w:rsidRPr="00ED3962" w:rsidRDefault="007C1482" w:rsidP="00157AE8">
            <w:pPr>
              <w:numPr>
                <w:ilvl w:val="1"/>
                <w:numId w:val="4"/>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4.1 Eelnõude väljatöötamise käigus konsulteerib valitsusasutus huvirühmade ja avalikkusega võimalikult varajases menetlusetapis ja kogu protsessi vältel. Avalik konsultatsioon tuleb igal juhul läbi viia kahes menetlusetapis: siis, kui eelnõu väljatöötamiseks alles taotletakse mandaati, ning siis, kui eelnõu on juba välja töötatud.</w:t>
            </w:r>
          </w:p>
        </w:tc>
        <w:tc>
          <w:tcPr>
            <w:tcW w:w="6095" w:type="dxa"/>
          </w:tcPr>
          <w:p w14:paraId="3796FD88" w14:textId="77777777" w:rsidR="007C1482" w:rsidRPr="00ED3962" w:rsidRDefault="009C49DE"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kaasamine on plaanitud võimalikult vara?</w:t>
            </w:r>
            <w:r w:rsidR="007C1482" w:rsidRPr="00ED3962">
              <w:rPr>
                <w:rFonts w:ascii="Myriad Pro" w:hAnsi="Myriad Pro" w:cs="Tahoma"/>
                <w:color w:val="00698C"/>
                <w:sz w:val="18"/>
                <w:szCs w:val="18"/>
                <w:lang w:val="et-EE"/>
              </w:rPr>
              <w:t xml:space="preserve"> </w:t>
            </w:r>
            <w:r>
              <w:rPr>
                <w:rFonts w:ascii="Myriad Pro" w:hAnsi="Myriad Pro" w:cs="Tahoma"/>
                <w:color w:val="00698C"/>
                <w:sz w:val="18"/>
                <w:szCs w:val="18"/>
                <w:lang w:val="et-EE"/>
              </w:rPr>
              <w:t>Kas oleks võimalik veel varem?</w:t>
            </w:r>
          </w:p>
          <w:p w14:paraId="3689284B" w14:textId="77777777" w:rsidR="007C1482" w:rsidRPr="00ED3962" w:rsidRDefault="00FD62AB"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a</w:t>
            </w:r>
            <w:r w:rsidR="007C1482" w:rsidRPr="00ED3962">
              <w:rPr>
                <w:rFonts w:ascii="Myriad Pro" w:hAnsi="Myriad Pro" w:cs="Tahoma"/>
                <w:color w:val="00698C"/>
                <w:sz w:val="18"/>
                <w:szCs w:val="18"/>
                <w:lang w:val="et-EE"/>
              </w:rPr>
              <w:t>valik konsultatsioon</w:t>
            </w:r>
            <w:r>
              <w:rPr>
                <w:rFonts w:ascii="Myriad Pro" w:hAnsi="Myriad Pro" w:cs="Tahoma"/>
                <w:color w:val="00698C"/>
                <w:sz w:val="18"/>
                <w:szCs w:val="18"/>
                <w:lang w:val="et-EE"/>
              </w:rPr>
              <w:t xml:space="preserve"> on tagatud kui</w:t>
            </w:r>
            <w:r w:rsidR="007C1482" w:rsidRPr="00ED3962">
              <w:rPr>
                <w:rFonts w:ascii="Myriad Pro" w:hAnsi="Myriad Pro" w:cs="Tahoma"/>
                <w:color w:val="00698C"/>
                <w:sz w:val="18"/>
                <w:szCs w:val="18"/>
                <w:lang w:val="et-EE"/>
              </w:rPr>
              <w:t xml:space="preserve">: </w:t>
            </w:r>
          </w:p>
          <w:p w14:paraId="46DB8F93" w14:textId="77777777" w:rsidR="007C1482" w:rsidRPr="00ED3962" w:rsidRDefault="007C1482"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 xml:space="preserve"> - taotl</w:t>
            </w:r>
            <w:r w:rsidR="00FD62AB">
              <w:rPr>
                <w:rFonts w:ascii="Myriad Pro" w:hAnsi="Myriad Pro" w:cs="Tahoma"/>
                <w:color w:val="00698C"/>
                <w:sz w:val="18"/>
                <w:szCs w:val="18"/>
                <w:lang w:val="et-EE"/>
              </w:rPr>
              <w:t>etakse mandaati (</w:t>
            </w:r>
            <w:r w:rsidRPr="00ED3962">
              <w:rPr>
                <w:rFonts w:ascii="Myriad Pro" w:hAnsi="Myriad Pro" w:cs="Tahoma"/>
                <w:color w:val="00698C"/>
                <w:sz w:val="18"/>
                <w:szCs w:val="18"/>
                <w:lang w:val="et-EE"/>
              </w:rPr>
              <w:t>VTK</w:t>
            </w:r>
            <w:r w:rsidR="00FD62AB">
              <w:rPr>
                <w:rFonts w:ascii="Myriad Pro" w:hAnsi="Myriad Pro" w:cs="Tahoma"/>
                <w:color w:val="00698C"/>
                <w:sz w:val="18"/>
                <w:szCs w:val="18"/>
                <w:lang w:val="et-EE"/>
              </w:rPr>
              <w:t>)</w:t>
            </w:r>
            <w:r w:rsidRPr="00ED3962">
              <w:rPr>
                <w:rFonts w:ascii="Myriad Pro" w:hAnsi="Myriad Pro" w:cs="Tahoma"/>
                <w:color w:val="00698C"/>
                <w:sz w:val="18"/>
                <w:szCs w:val="18"/>
                <w:lang w:val="et-EE"/>
              </w:rPr>
              <w:t>?</w:t>
            </w:r>
          </w:p>
          <w:p w14:paraId="701FDB6F" w14:textId="77777777" w:rsidR="007C1482" w:rsidRPr="00ED3962" w:rsidRDefault="007C148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 xml:space="preserve"> - eelnõu on väljatöötatud?</w:t>
            </w:r>
            <w:r w:rsidR="00FD62AB">
              <w:rPr>
                <w:rFonts w:ascii="Myriad Pro" w:hAnsi="Myriad Pro" w:cs="Tahoma"/>
                <w:color w:val="00698C"/>
                <w:sz w:val="18"/>
                <w:szCs w:val="18"/>
                <w:lang w:val="et-EE"/>
              </w:rPr>
              <w:t xml:space="preserve"> </w:t>
            </w:r>
          </w:p>
        </w:tc>
      </w:tr>
      <w:tr w:rsidR="007C1482" w:rsidRPr="00731B28" w14:paraId="48531E85"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492DAD35" w14:textId="77777777" w:rsidR="007C1482" w:rsidRPr="00ED3962" w:rsidRDefault="007C1482" w:rsidP="00157AE8">
            <w:pPr>
              <w:numPr>
                <w:ilvl w:val="1"/>
                <w:numId w:val="4"/>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4.2 Valitsusasutus esitab seaduseelnõu väljatöötamiskavatsuse, arengukava koostamise ettepaneku või muu prognoositava olulise mõjuga küsimuse, samuti eelnõu enne otsustamist eelnõude infosüsteemi kaudu, aga vajaduse korral lisaks ka otse huvirühmade poole pöördudes ettepanekute kogumiseks ja arvamuse avaldamiseks.</w:t>
            </w:r>
          </w:p>
        </w:tc>
        <w:tc>
          <w:tcPr>
            <w:tcW w:w="6095" w:type="dxa"/>
          </w:tcPr>
          <w:p w14:paraId="785AA404" w14:textId="77777777" w:rsidR="007C1482" w:rsidRPr="00ED3962" w:rsidRDefault="00DF49EB"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w:t>
            </w:r>
            <w:r w:rsidR="00B20CCC">
              <w:rPr>
                <w:rFonts w:ascii="Myriad Pro" w:hAnsi="Myriad Pro" w:cs="Tahoma"/>
                <w:color w:val="00698C"/>
                <w:sz w:val="18"/>
                <w:szCs w:val="18"/>
                <w:lang w:val="et-EE"/>
              </w:rPr>
              <w:t xml:space="preserve">lisaks avalikustamisele teavitatakse huvirühmi </w:t>
            </w:r>
            <w:r>
              <w:rPr>
                <w:rFonts w:ascii="Myriad Pro" w:hAnsi="Myriad Pro" w:cs="Tahoma"/>
                <w:color w:val="00698C"/>
                <w:sz w:val="18"/>
                <w:szCs w:val="18"/>
                <w:lang w:val="et-EE"/>
              </w:rPr>
              <w:t>konsultats</w:t>
            </w:r>
            <w:r w:rsidR="00B20CCC">
              <w:rPr>
                <w:rFonts w:ascii="Myriad Pro" w:hAnsi="Myriad Pro" w:cs="Tahoma"/>
                <w:color w:val="00698C"/>
                <w:sz w:val="18"/>
                <w:szCs w:val="18"/>
                <w:lang w:val="et-EE"/>
              </w:rPr>
              <w:t>ioonist?</w:t>
            </w:r>
            <w:r>
              <w:rPr>
                <w:rFonts w:ascii="Myriad Pro" w:hAnsi="Myriad Pro" w:cs="Tahoma"/>
                <w:color w:val="00698C"/>
                <w:sz w:val="18"/>
                <w:szCs w:val="18"/>
                <w:lang w:val="et-EE"/>
              </w:rPr>
              <w:t xml:space="preserve"> </w:t>
            </w:r>
            <w:r w:rsidR="00B20CCC">
              <w:rPr>
                <w:rFonts w:ascii="Myriad Pro" w:hAnsi="Myriad Pro" w:cs="Tahoma"/>
                <w:color w:val="00698C"/>
                <w:sz w:val="18"/>
                <w:szCs w:val="18"/>
                <w:lang w:val="et-EE"/>
              </w:rPr>
              <w:t>Võimalusest esitada ettepanekuid ja arvamusi?</w:t>
            </w:r>
          </w:p>
        </w:tc>
      </w:tr>
      <w:tr w:rsidR="007C1482" w:rsidRPr="00731B28" w14:paraId="10FF80D1"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7C6B1E7" w14:textId="77777777" w:rsidR="007C1482" w:rsidRPr="00ED3962" w:rsidRDefault="007C1482" w:rsidP="00157AE8">
            <w:pPr>
              <w:numPr>
                <w:ilvl w:val="1"/>
                <w:numId w:val="4"/>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4.3 Euroopa Liidu asjades esitab valitsusasutus huvirühmadele Euroopa Komisjoni algatuse koos Eesti seisukoha eelnõu ja seletuskirjaga. Asutus hoiab huvirühmi kursis Euroopa Liidu institutsioonides toimuvate läbirääkimiste käiguga ning Eesti seisukohtade muutudes teavitab neist ka huvirühmi.</w:t>
            </w:r>
          </w:p>
        </w:tc>
        <w:tc>
          <w:tcPr>
            <w:tcW w:w="6095" w:type="dxa"/>
          </w:tcPr>
          <w:p w14:paraId="5CA3BFBC" w14:textId="77777777" w:rsidR="007C1482" w:rsidRPr="00ED3962" w:rsidRDefault="007C148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p>
        </w:tc>
      </w:tr>
      <w:tr w:rsidR="007C1482" w:rsidRPr="00731B28" w14:paraId="1359A15C"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34FD8C85" w14:textId="77777777" w:rsidR="007C1482" w:rsidRPr="00ED3962" w:rsidRDefault="007C1482" w:rsidP="00157AE8">
            <w:pPr>
              <w:numPr>
                <w:ilvl w:val="1"/>
                <w:numId w:val="4"/>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4.4 Kui eelnõu juurde on koostatud mõjude analüüsi aruanne, esitatakse ka see eelnõuga koos avalikuks konsultatsiooniks.</w:t>
            </w:r>
          </w:p>
        </w:tc>
        <w:tc>
          <w:tcPr>
            <w:tcW w:w="6095" w:type="dxa"/>
          </w:tcPr>
          <w:p w14:paraId="7E04A5CD" w14:textId="77777777" w:rsidR="007C1482" w:rsidRPr="00ED3962" w:rsidRDefault="007C1482"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Mis saab siis kui konsultatsiooni käigus selgub, et mõjude analüüs ei ole asjakohane?</w:t>
            </w:r>
            <w:r w:rsidR="009C02B5">
              <w:rPr>
                <w:rFonts w:ascii="Myriad Pro" w:hAnsi="Myriad Pro" w:cs="Tahoma"/>
                <w:color w:val="00698C"/>
                <w:sz w:val="18"/>
                <w:szCs w:val="18"/>
                <w:lang w:val="et-EE"/>
              </w:rPr>
              <w:t xml:space="preserve"> Kas on võimalus ja valmisolek </w:t>
            </w:r>
            <w:r w:rsidR="00EE45B0">
              <w:rPr>
                <w:rFonts w:ascii="Myriad Pro" w:hAnsi="Myriad Pro" w:cs="Tahoma"/>
                <w:color w:val="00698C"/>
                <w:sz w:val="18"/>
                <w:szCs w:val="18"/>
                <w:lang w:val="et-EE"/>
              </w:rPr>
              <w:t>teema(d) uuesti avada?</w:t>
            </w:r>
          </w:p>
        </w:tc>
      </w:tr>
      <w:tr w:rsidR="007C1482" w:rsidRPr="00731B28" w14:paraId="690CDBF5"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709011DF" w14:textId="77777777" w:rsidR="007C1482" w:rsidRPr="00ED3962" w:rsidRDefault="007C1482" w:rsidP="00157AE8">
            <w:pPr>
              <w:numPr>
                <w:ilvl w:val="1"/>
                <w:numId w:val="4"/>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4.5 Valitsusasutus edastab huvirühmadele info avaliku konsultatsiooni avamise kohta. Huvirühmadele ja avalikkusele selgitatakse, milleks otsuse eelnõu on vaja, milleks kaasamist korraldatakse, ootusi nendelt saadava tagasiside suhtes ning eelnõu edasist menetluskäiku, sealhulgas:</w:t>
            </w:r>
          </w:p>
          <w:p w14:paraId="620A94D7" w14:textId="77777777" w:rsidR="007C1482" w:rsidRPr="00ED3962" w:rsidRDefault="007C1482" w:rsidP="00157AE8">
            <w:pPr>
              <w:numPr>
                <w:ilvl w:val="2"/>
                <w:numId w:val="4"/>
              </w:numPr>
              <w:shd w:val="clear" w:color="auto" w:fill="FFFFFF"/>
              <w:spacing w:line="276" w:lineRule="auto"/>
              <w:ind w:left="60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bdr w:val="none" w:sz="0" w:space="0" w:color="auto" w:frame="1"/>
                <w:lang w:val="et-EE"/>
              </w:rPr>
              <w:t>nimetatakse huvirühmad, keda on kaasatud;</w:t>
            </w:r>
          </w:p>
          <w:p w14:paraId="4AFCED9F" w14:textId="77777777" w:rsidR="007C1482" w:rsidRPr="00ED3962" w:rsidRDefault="007C1482" w:rsidP="00157AE8">
            <w:pPr>
              <w:numPr>
                <w:ilvl w:val="2"/>
                <w:numId w:val="4"/>
              </w:numPr>
              <w:shd w:val="clear" w:color="auto" w:fill="FFFFFF"/>
              <w:spacing w:line="276" w:lineRule="auto"/>
              <w:ind w:left="60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bdr w:val="none" w:sz="0" w:space="0" w:color="auto" w:frame="1"/>
                <w:lang w:val="et-EE"/>
              </w:rPr>
              <w:t>märgitakse need küsimused, mille kohta oodatakse huvirühmade seisukohti;</w:t>
            </w:r>
          </w:p>
          <w:p w14:paraId="6434CDB8" w14:textId="77777777" w:rsidR="007C1482" w:rsidRPr="00ED3962" w:rsidRDefault="007C1482" w:rsidP="00157AE8">
            <w:pPr>
              <w:numPr>
                <w:ilvl w:val="2"/>
                <w:numId w:val="4"/>
              </w:numPr>
              <w:shd w:val="clear" w:color="auto" w:fill="FFFFFF"/>
              <w:spacing w:line="276" w:lineRule="auto"/>
              <w:ind w:left="60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bdr w:val="none" w:sz="0" w:space="0" w:color="auto" w:frame="1"/>
                <w:lang w:val="et-EE"/>
              </w:rPr>
              <w:t>nimetatakse huvirühmadele tagasiside andmise viisid ja tähtaeg;</w:t>
            </w:r>
          </w:p>
          <w:p w14:paraId="58C4E754" w14:textId="77777777" w:rsidR="007C1482" w:rsidRPr="00ED3962" w:rsidRDefault="007C1482" w:rsidP="00157AE8">
            <w:pPr>
              <w:numPr>
                <w:ilvl w:val="2"/>
                <w:numId w:val="4"/>
              </w:numPr>
              <w:shd w:val="clear" w:color="auto" w:fill="FFFFFF"/>
              <w:spacing w:line="276" w:lineRule="auto"/>
              <w:ind w:left="60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bdr w:val="none" w:sz="0" w:space="0" w:color="auto" w:frame="1"/>
                <w:lang w:val="et-EE"/>
              </w:rPr>
              <w:t>kirjeldatakse kaasamise edasist käiku ja eelnõu edasist menetlust.</w:t>
            </w:r>
          </w:p>
        </w:tc>
        <w:tc>
          <w:tcPr>
            <w:tcW w:w="6095" w:type="dxa"/>
          </w:tcPr>
          <w:p w14:paraId="14EB7967" w14:textId="77777777" w:rsidR="007C1482" w:rsidRPr="00ED3962" w:rsidRDefault="007C1482"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Kuidas huvirühmadega regulaarselt suhelda? Kuidas partnereid valida?</w:t>
            </w:r>
          </w:p>
          <w:p w14:paraId="289D2FDF" w14:textId="77777777" w:rsidR="007C1482" w:rsidRPr="00EE45B0" w:rsidRDefault="00EE45B0" w:rsidP="00157AE8">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huvigruppide ootustega on piisavalt arvestatud?</w:t>
            </w:r>
          </w:p>
          <w:p w14:paraId="3142547B" w14:textId="77777777" w:rsidR="007C1482" w:rsidRPr="00EE45B0" w:rsidRDefault="008F44C7" w:rsidP="00157AE8">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on täpsustatud, millistes küsimustes täpsemalt oodatakse huvirühmadelt seisukohti</w:t>
            </w:r>
            <w:r w:rsidR="007C1482" w:rsidRPr="00EE45B0">
              <w:rPr>
                <w:rFonts w:ascii="Myriad Pro" w:hAnsi="Myriad Pro" w:cs="Tahoma"/>
                <w:color w:val="00698C"/>
                <w:sz w:val="18"/>
                <w:szCs w:val="18"/>
                <w:lang w:val="et-EE"/>
              </w:rPr>
              <w:t>?</w:t>
            </w:r>
          </w:p>
          <w:p w14:paraId="58AFBDB0" w14:textId="77777777" w:rsidR="007C1482" w:rsidRPr="00EE45B0" w:rsidRDefault="00BF3EAF" w:rsidP="00157AE8">
            <w:pPr>
              <w:pStyle w:val="ListParagraph"/>
              <w:numPr>
                <w:ilvl w:val="0"/>
                <w:numId w:val="11"/>
              </w:num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on läbi mõeldud t</w:t>
            </w:r>
            <w:r w:rsidR="007C1482" w:rsidRPr="00EE45B0">
              <w:rPr>
                <w:rFonts w:ascii="Myriad Pro" w:hAnsi="Myriad Pro" w:cs="Tahoma"/>
                <w:color w:val="00698C"/>
                <w:sz w:val="18"/>
                <w:szCs w:val="18"/>
                <w:lang w:val="et-EE"/>
              </w:rPr>
              <w:t>agasiside andmise viisid</w:t>
            </w:r>
            <w:r>
              <w:rPr>
                <w:rFonts w:ascii="Myriad Pro" w:hAnsi="Myriad Pro" w:cs="Tahoma"/>
                <w:color w:val="00698C"/>
                <w:sz w:val="18"/>
                <w:szCs w:val="18"/>
                <w:lang w:val="et-EE"/>
              </w:rPr>
              <w:t>?</w:t>
            </w:r>
            <w:r w:rsidR="007C1482" w:rsidRPr="00EE45B0">
              <w:rPr>
                <w:rFonts w:ascii="Myriad Pro" w:hAnsi="Myriad Pro" w:cs="Tahoma"/>
                <w:color w:val="00698C"/>
                <w:sz w:val="18"/>
                <w:szCs w:val="18"/>
                <w:lang w:val="et-EE"/>
              </w:rPr>
              <w:t xml:space="preserve"> </w:t>
            </w:r>
          </w:p>
        </w:tc>
      </w:tr>
      <w:tr w:rsidR="007C1482" w:rsidRPr="00731B28" w14:paraId="1C4AF596"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2D5F29BC" w14:textId="77777777" w:rsidR="007C1482" w:rsidRPr="00ED3962" w:rsidRDefault="007C1482" w:rsidP="00157AE8">
            <w:pPr>
              <w:shd w:val="clear" w:color="auto" w:fill="FFFFFF"/>
              <w:spacing w:line="276" w:lineRule="auto"/>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lastRenderedPageBreak/>
              <w:t>4.6 Kaasatavatele võimaldatakse piisavalt aega tagasiside andmiseks. Avalik konsulteerimine kestab neli nädalat. Põhjendatud juhtudel võib konsulteerimise kestust lühendada. Konsulteerimise kestust pikendatakse väga mahuka otsuse eelnõu puhul või muudel põhjendatud juhtudel.</w:t>
            </w:r>
          </w:p>
        </w:tc>
        <w:tc>
          <w:tcPr>
            <w:tcW w:w="6095" w:type="dxa"/>
          </w:tcPr>
          <w:p w14:paraId="36D0E212" w14:textId="77777777" w:rsidR="00BF3EAF" w:rsidRDefault="00BF3EAF"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on vähemalt neli nädalat aega arvamisute ja ettepanekute esitamiseks?</w:t>
            </w:r>
          </w:p>
          <w:p w14:paraId="067D9F0A" w14:textId="77777777" w:rsidR="007C1482" w:rsidRPr="00ED3962" w:rsidRDefault="00BF3EAF"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konsultatsioonis on plaanitud ka aktiivsemaid vorme?</w:t>
            </w:r>
          </w:p>
        </w:tc>
      </w:tr>
      <w:tr w:rsidR="007C1482" w:rsidRPr="00731B28" w14:paraId="56BEBF1B"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02BC42C1" w14:textId="77777777" w:rsidR="007C1482" w:rsidRPr="00ED3962" w:rsidRDefault="0080358B" w:rsidP="00157AE8">
            <w:pPr>
              <w:shd w:val="clear" w:color="auto" w:fill="FFFFFF"/>
              <w:spacing w:line="276" w:lineRule="auto"/>
              <w:textAlignment w:val="baseline"/>
              <w:rPr>
                <w:rFonts w:ascii="Myriad Pro" w:hAnsi="Myriad Pro" w:cs="Tahoma"/>
                <w:b w:val="0"/>
                <w:color w:val="00698C"/>
                <w:sz w:val="18"/>
                <w:szCs w:val="18"/>
                <w:bdr w:val="none" w:sz="0" w:space="0" w:color="auto" w:frame="1"/>
                <w:lang w:val="et-EE"/>
              </w:rPr>
            </w:pPr>
            <w:r>
              <w:rPr>
                <w:rFonts w:ascii="Myriad Pro" w:hAnsi="Myriad Pro" w:cs="Tahoma"/>
                <w:b w:val="0"/>
                <w:color w:val="333333"/>
                <w:sz w:val="18"/>
                <w:szCs w:val="18"/>
                <w:bdr w:val="none" w:sz="0" w:space="0" w:color="auto" w:frame="1"/>
                <w:lang w:val="et-EE"/>
              </w:rPr>
              <w:t xml:space="preserve">5. </w:t>
            </w:r>
            <w:r w:rsidR="007C1482" w:rsidRPr="00ED3962">
              <w:rPr>
                <w:rFonts w:ascii="Myriad Pro" w:hAnsi="Myriad Pro" w:cs="Tahoma"/>
                <w:b w:val="0"/>
                <w:color w:val="333333"/>
                <w:sz w:val="18"/>
                <w:szCs w:val="18"/>
                <w:bdr w:val="none" w:sz="0" w:space="0" w:color="auto" w:frame="1"/>
                <w:lang w:val="et-EE"/>
              </w:rPr>
              <w:t>Konsulteerimise kanalite valikul tuleb arvestada avalikkuse ja huvirühmade võimalusi konsulteerimisele saadetud dokumendile juurdepääsuks. Kui konsulteerimine eeldab laiema avalikkuse osavõttu, avaldatakse teave eelnõude infosüsteemis ja sedakaudu osalusveebis ning vajaduse korral muude kanalite kaudu.</w:t>
            </w:r>
          </w:p>
        </w:tc>
        <w:tc>
          <w:tcPr>
            <w:tcW w:w="6095" w:type="dxa"/>
          </w:tcPr>
          <w:p w14:paraId="0B598FA1" w14:textId="77777777" w:rsidR="005D5E46" w:rsidRDefault="005D5E46"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arvestatud on huvirühmade eripäradega? </w:t>
            </w:r>
          </w:p>
          <w:p w14:paraId="05E7B8BC" w14:textId="77777777" w:rsidR="00E518B9" w:rsidRDefault="00E518B9"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kõigil on võrdne ligipääs kõigile kanalitele?</w:t>
            </w:r>
          </w:p>
          <w:p w14:paraId="25A6B2F8" w14:textId="77777777" w:rsidR="005D5E46" w:rsidRPr="00ED3962" w:rsidRDefault="005D5E46"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kaasamise kanalid on asjakohased? </w:t>
            </w:r>
          </w:p>
          <w:p w14:paraId="072CA4E6" w14:textId="77777777" w:rsidR="007C1482" w:rsidRPr="00ED3962" w:rsidRDefault="007C148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p>
        </w:tc>
      </w:tr>
      <w:tr w:rsidR="007C1482" w:rsidRPr="00731B28" w14:paraId="78DAACB8"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6EB64772" w14:textId="77777777" w:rsidR="007C1482" w:rsidRPr="00ED3962" w:rsidRDefault="007C1482" w:rsidP="00157AE8">
            <w:pPr>
              <w:numPr>
                <w:ilvl w:val="1"/>
                <w:numId w:val="5"/>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6.1 Huvirühmadele tuleb anda piisavalt põhjalik tagasiside mõistliku aja jooksul, üldjuhul 30 päeva jooksul konsultatsiooni lõppemisest. Kui konsultatsioon kestab kauem kui kolm kuud või toimub mitmes etapis, teeb valitsusasutus vajaduse korral vahekokkuvõtte konsulteerimise käigus saadud tagasisidest ja sellega arvestamisest, muudab vajaduse korral konsulteerimise ajakava ning teavitab sellest kõiki kaasatud huvirühmi.</w:t>
            </w:r>
          </w:p>
        </w:tc>
        <w:tc>
          <w:tcPr>
            <w:tcW w:w="6095" w:type="dxa"/>
          </w:tcPr>
          <w:p w14:paraId="61DFDC0B" w14:textId="77777777" w:rsidR="00EF37F1" w:rsidRDefault="00EF37F1"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Kas tagasisidestamiseks on varutud piisavalt aega?</w:t>
            </w:r>
          </w:p>
          <w:p w14:paraId="6409871B" w14:textId="77777777" w:rsidR="00EF37F1" w:rsidRDefault="00E518B9"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ajakava ja meetodid võimaldavad anda piisavalt sisukat tagasisidet? </w:t>
            </w:r>
          </w:p>
          <w:p w14:paraId="5C911357" w14:textId="77777777" w:rsidR="00EF37F1" w:rsidRDefault="00E518B9"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Mis saab siis kui huvirühm ei ole tagasisidega rahul? </w:t>
            </w:r>
          </w:p>
          <w:p w14:paraId="449FC619" w14:textId="77777777" w:rsidR="00EF37F1" w:rsidRDefault="00E518B9"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w:t>
            </w:r>
            <w:r w:rsidR="00EF37F1">
              <w:rPr>
                <w:rFonts w:ascii="Myriad Pro" w:hAnsi="Myriad Pro" w:cs="Tahoma"/>
                <w:color w:val="00698C"/>
                <w:sz w:val="18"/>
                <w:szCs w:val="18"/>
                <w:lang w:val="et-EE"/>
              </w:rPr>
              <w:t xml:space="preserve">lisaettepanekuid, alternatiivseid lahendusi kaalutakse? </w:t>
            </w:r>
          </w:p>
          <w:p w14:paraId="407F9096" w14:textId="77777777" w:rsidR="007C1482" w:rsidRPr="00ED3962" w:rsidRDefault="007C1482"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Kus eriarvamus märgitakse?</w:t>
            </w:r>
          </w:p>
        </w:tc>
      </w:tr>
      <w:tr w:rsidR="007C1482" w:rsidRPr="00731B28" w14:paraId="33009813"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78211410" w14:textId="77777777" w:rsidR="007C1482" w:rsidRPr="00ED3962" w:rsidRDefault="007C1482" w:rsidP="00157AE8">
            <w:pPr>
              <w:numPr>
                <w:ilvl w:val="1"/>
                <w:numId w:val="5"/>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6.2 Otsustajaid tuleb teavitada huvirühmadega konsulteerimise tulemustest. Valitsusasutus koostab konsulteerimise tulemuste kohta koondvastuse. Selles märgitakse huvirühmad, keda kutsuti konsulteerimises osalema, esitatakse tehtud ettepanekud ja märkused, selgitatakse ettepanekute või märkustega arvestamist ning põhjendatakse nendega arvestamata jätmist.</w:t>
            </w:r>
          </w:p>
        </w:tc>
        <w:tc>
          <w:tcPr>
            <w:tcW w:w="6095" w:type="dxa"/>
          </w:tcPr>
          <w:p w14:paraId="280BA885" w14:textId="77777777" w:rsidR="007C1482" w:rsidRPr="00ED3962" w:rsidRDefault="00C77135"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Kus ja kuidas avaldatakse info </w:t>
            </w:r>
            <w:r w:rsidR="007C1482" w:rsidRPr="00ED3962">
              <w:rPr>
                <w:rFonts w:ascii="Myriad Pro" w:hAnsi="Myriad Pro" w:cs="Tahoma"/>
                <w:color w:val="00698C"/>
                <w:sz w:val="18"/>
                <w:szCs w:val="18"/>
                <w:lang w:val="et-EE"/>
              </w:rPr>
              <w:t>konsulteer</w:t>
            </w:r>
            <w:r>
              <w:rPr>
                <w:rFonts w:ascii="Myriad Pro" w:hAnsi="Myriad Pro" w:cs="Tahoma"/>
                <w:color w:val="00698C"/>
                <w:sz w:val="18"/>
                <w:szCs w:val="18"/>
                <w:lang w:val="et-EE"/>
              </w:rPr>
              <w:t>imise tulemuste kohta?</w:t>
            </w:r>
          </w:p>
          <w:p w14:paraId="624CAFC9" w14:textId="77777777" w:rsidR="007C1482" w:rsidRPr="00ED3962" w:rsidRDefault="007C1482" w:rsidP="00157AE8">
            <w:pPr>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Kellel ja millal on õigus öelda, et konsulteerimine ei olnud tulemuslik – vajadus täiendava konsulteerimise järele?</w:t>
            </w:r>
          </w:p>
        </w:tc>
      </w:tr>
      <w:tr w:rsidR="007C1482" w:rsidRPr="00731B28" w14:paraId="725EE7F2"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38D6D384" w14:textId="77777777" w:rsidR="007C1482" w:rsidRPr="00ED3962" w:rsidRDefault="007C1482" w:rsidP="00157AE8">
            <w:pPr>
              <w:numPr>
                <w:ilvl w:val="1"/>
                <w:numId w:val="5"/>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6.3 Koondvastus lisatakse otsustatava küsimuse juurde ning edastatakse kõikidele huvirühmadele koos punktis 6.1 nimetatud tagasisidega. Kui tagasiside analüüs nõuab erandkorras rohkem aega kui 30 päeva, edastatakse huvirühmadele koos tagasisidega teave uuest tähtajast. Koondvastus avalikustatakse eelnõude infosüsteemis menetletava eelnõu juures ning tehakse kättesaadavaks ka pärast menetluse lõppu.</w:t>
            </w:r>
          </w:p>
        </w:tc>
        <w:tc>
          <w:tcPr>
            <w:tcW w:w="6095" w:type="dxa"/>
          </w:tcPr>
          <w:p w14:paraId="247D34CA" w14:textId="77777777" w:rsidR="007C1482" w:rsidRPr="00ED3962" w:rsidRDefault="00C77135" w:rsidP="00157AE8">
            <w:pPr>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Kes ja kuidas saab koondvastuseid näha?</w:t>
            </w:r>
          </w:p>
        </w:tc>
      </w:tr>
      <w:tr w:rsidR="007C1482" w:rsidRPr="00731B28" w14:paraId="05AC78B5" w14:textId="77777777" w:rsidTr="000E1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3DF52274" w14:textId="77777777" w:rsidR="007C1482" w:rsidRPr="00ED3962" w:rsidRDefault="007C1482" w:rsidP="00157AE8">
            <w:pPr>
              <w:numPr>
                <w:ilvl w:val="1"/>
                <w:numId w:val="5"/>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7.1Oluliste eelnõude avaliku konsulteerimise lõppemisel analüüsib valitsusasutus kaasamise tulemuslikkust, sealhulgas eesmärgi saavutamist, kasutatud meetodite asjakohasust, huvirühmade osalemist konsulteerimisel, teavitamise ja tagasiside andmise toimimist ning huvirühmade rahulolu kaasamisega. Selleks küsib valitsusasutus tulemuslikkuse kohta hinnangut ka kaasatud huvirühmadelt.</w:t>
            </w:r>
          </w:p>
        </w:tc>
        <w:tc>
          <w:tcPr>
            <w:tcW w:w="6095" w:type="dxa"/>
          </w:tcPr>
          <w:p w14:paraId="00379995" w14:textId="77777777" w:rsidR="007C1482" w:rsidRPr="00ED3962" w:rsidRDefault="00D366E8"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r>
              <w:rPr>
                <w:rFonts w:ascii="Myriad Pro" w:hAnsi="Myriad Pro" w:cs="Tahoma"/>
                <w:color w:val="00698C"/>
                <w:sz w:val="18"/>
                <w:szCs w:val="18"/>
                <w:lang w:val="et-EE"/>
              </w:rPr>
              <w:t xml:space="preserve">Kas on hindamine ajakavva plaanitud? Kas on mõeldud läbi, kuidas hindamine toimub? Kus hindamise analüüs </w:t>
            </w:r>
            <w:r w:rsidR="007C1482" w:rsidRPr="00ED3962">
              <w:rPr>
                <w:rFonts w:ascii="Myriad Pro" w:hAnsi="Myriad Pro" w:cs="Tahoma"/>
                <w:color w:val="00698C"/>
                <w:sz w:val="18"/>
                <w:szCs w:val="18"/>
                <w:lang w:val="et-EE"/>
              </w:rPr>
              <w:t xml:space="preserve">avalikustatakse? Kellele? </w:t>
            </w:r>
          </w:p>
          <w:p w14:paraId="700B89A5" w14:textId="77777777" w:rsidR="007C1482" w:rsidRPr="00ED3962" w:rsidRDefault="007C1482" w:rsidP="00157AE8">
            <w:pPr>
              <w:spacing w:after="270"/>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cs="Tahoma"/>
                <w:color w:val="00698C"/>
                <w:sz w:val="18"/>
                <w:szCs w:val="18"/>
                <w:lang w:val="et-EE"/>
              </w:rPr>
            </w:pPr>
          </w:p>
        </w:tc>
      </w:tr>
      <w:tr w:rsidR="007C1482" w:rsidRPr="00731B28" w14:paraId="44D282C8" w14:textId="77777777" w:rsidTr="000E1CA1">
        <w:tc>
          <w:tcPr>
            <w:cnfStyle w:val="001000000000" w:firstRow="0" w:lastRow="0" w:firstColumn="1" w:lastColumn="0" w:oddVBand="0" w:evenVBand="0" w:oddHBand="0" w:evenHBand="0" w:firstRowFirstColumn="0" w:firstRowLastColumn="0" w:lastRowFirstColumn="0" w:lastRowLastColumn="0"/>
            <w:tcW w:w="7905" w:type="dxa"/>
          </w:tcPr>
          <w:p w14:paraId="449F59B2" w14:textId="77777777" w:rsidR="007C1482" w:rsidRPr="00D366E8" w:rsidRDefault="007C1482" w:rsidP="00157AE8">
            <w:pPr>
              <w:numPr>
                <w:ilvl w:val="1"/>
                <w:numId w:val="5"/>
              </w:numPr>
              <w:shd w:val="clear" w:color="auto" w:fill="FFFFFF"/>
              <w:spacing w:line="276" w:lineRule="auto"/>
              <w:ind w:left="0"/>
              <w:textAlignment w:val="baseline"/>
              <w:rPr>
                <w:rFonts w:ascii="Myriad Pro" w:eastAsia="Times New Roman" w:hAnsi="Myriad Pro" w:cs="Tahoma"/>
                <w:b w:val="0"/>
                <w:color w:val="333333"/>
                <w:sz w:val="18"/>
                <w:szCs w:val="18"/>
                <w:lang w:val="et-EE"/>
              </w:rPr>
            </w:pPr>
            <w:r w:rsidRPr="00ED3962">
              <w:rPr>
                <w:rFonts w:ascii="Myriad Pro" w:eastAsia="Times New Roman" w:hAnsi="Myriad Pro" w:cs="Tahoma"/>
                <w:b w:val="0"/>
                <w:color w:val="333333"/>
                <w:sz w:val="18"/>
                <w:szCs w:val="18"/>
                <w:lang w:val="et-EE"/>
              </w:rPr>
              <w:t>7.2 Analüüsi tulemustega arvestatakse kaasamise edaspidise</w:t>
            </w:r>
            <w:r w:rsidR="00D366E8">
              <w:rPr>
                <w:rFonts w:ascii="Myriad Pro" w:eastAsia="Times New Roman" w:hAnsi="Myriad Pro" w:cs="Tahoma"/>
                <w:b w:val="0"/>
                <w:color w:val="333333"/>
                <w:sz w:val="18"/>
                <w:szCs w:val="18"/>
                <w:lang w:val="et-EE"/>
              </w:rPr>
              <w:t>l kavandamisel ja korraldamisel</w:t>
            </w:r>
            <w:r w:rsidR="00E2236E">
              <w:rPr>
                <w:rFonts w:ascii="Myriad Pro" w:eastAsia="Times New Roman" w:hAnsi="Myriad Pro" w:cs="Tahoma"/>
                <w:b w:val="0"/>
                <w:color w:val="333333"/>
                <w:sz w:val="18"/>
                <w:szCs w:val="18"/>
                <w:lang w:val="et-EE"/>
              </w:rPr>
              <w:t xml:space="preserve">. </w:t>
            </w:r>
          </w:p>
        </w:tc>
        <w:tc>
          <w:tcPr>
            <w:tcW w:w="6095" w:type="dxa"/>
          </w:tcPr>
          <w:p w14:paraId="3040E65E" w14:textId="77777777" w:rsidR="007C1482" w:rsidRPr="00ED3962" w:rsidRDefault="007C1482" w:rsidP="00157AE8">
            <w:pPr>
              <w:spacing w:after="270"/>
              <w:textAlignment w:val="baseline"/>
              <w:cnfStyle w:val="000000000000" w:firstRow="0" w:lastRow="0" w:firstColumn="0" w:lastColumn="0" w:oddVBand="0" w:evenVBand="0" w:oddHBand="0" w:evenHBand="0" w:firstRowFirstColumn="0" w:firstRowLastColumn="0" w:lastRowFirstColumn="0" w:lastRowLastColumn="0"/>
              <w:rPr>
                <w:rFonts w:ascii="Myriad Pro" w:hAnsi="Myriad Pro" w:cs="Tahoma"/>
                <w:color w:val="00698C"/>
                <w:sz w:val="18"/>
                <w:szCs w:val="18"/>
                <w:lang w:val="et-EE"/>
              </w:rPr>
            </w:pPr>
            <w:r w:rsidRPr="00ED3962">
              <w:rPr>
                <w:rFonts w:ascii="Myriad Pro" w:hAnsi="Myriad Pro" w:cs="Tahoma"/>
                <w:color w:val="00698C"/>
                <w:sz w:val="18"/>
                <w:szCs w:val="18"/>
                <w:lang w:val="et-EE"/>
              </w:rPr>
              <w:t>Kes, kuidas ja millise regulaarsusega teeb kokkuvõtted? Kuidas arvestatakse?</w:t>
            </w:r>
          </w:p>
        </w:tc>
      </w:tr>
      <w:bookmarkEnd w:id="0"/>
    </w:tbl>
    <w:p w14:paraId="5AF01C4E" w14:textId="77777777" w:rsidR="00DD084F" w:rsidRDefault="00DD084F" w:rsidP="00157AE8"/>
    <w:sectPr w:rsidR="00DD084F" w:rsidSect="000E1CA1">
      <w:pgSz w:w="16840" w:h="11900" w:orient="landscape"/>
      <w:pgMar w:top="1800" w:right="1440" w:bottom="1800"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2A9"/>
    <w:multiLevelType w:val="hybridMultilevel"/>
    <w:tmpl w:val="34B68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1A3D"/>
    <w:multiLevelType w:val="multilevel"/>
    <w:tmpl w:val="B20C0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67FE6"/>
    <w:multiLevelType w:val="multilevel"/>
    <w:tmpl w:val="76700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900E3"/>
    <w:multiLevelType w:val="hybridMultilevel"/>
    <w:tmpl w:val="6D70B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33076"/>
    <w:multiLevelType w:val="hybridMultilevel"/>
    <w:tmpl w:val="9D88D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1A67"/>
    <w:multiLevelType w:val="multilevel"/>
    <w:tmpl w:val="71DC7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Myriad Pro" w:eastAsiaTheme="minorEastAsia" w:hAnsi="Myriad Pro" w:cs="Tahom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F209E"/>
    <w:multiLevelType w:val="multilevel"/>
    <w:tmpl w:val="0B26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25F6F"/>
    <w:multiLevelType w:val="hybridMultilevel"/>
    <w:tmpl w:val="FEC8C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32613"/>
    <w:multiLevelType w:val="hybridMultilevel"/>
    <w:tmpl w:val="BF6E9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2B1DFC"/>
    <w:multiLevelType w:val="multilevel"/>
    <w:tmpl w:val="F4FE5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033E5"/>
    <w:multiLevelType w:val="hybridMultilevel"/>
    <w:tmpl w:val="09FC4D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4"/>
  </w:num>
  <w:num w:numId="7">
    <w:abstractNumId w:val="3"/>
  </w:num>
  <w:num w:numId="8">
    <w:abstractNumId w:val="0"/>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62"/>
    <w:rsid w:val="000C6420"/>
    <w:rsid w:val="000E1CA1"/>
    <w:rsid w:val="00157AE8"/>
    <w:rsid w:val="001C630E"/>
    <w:rsid w:val="00211001"/>
    <w:rsid w:val="002A30A8"/>
    <w:rsid w:val="002E3107"/>
    <w:rsid w:val="00355757"/>
    <w:rsid w:val="0038139E"/>
    <w:rsid w:val="0045039C"/>
    <w:rsid w:val="005D5E46"/>
    <w:rsid w:val="005F3B80"/>
    <w:rsid w:val="005F7F93"/>
    <w:rsid w:val="00606A6C"/>
    <w:rsid w:val="00612F24"/>
    <w:rsid w:val="006623EA"/>
    <w:rsid w:val="007617B2"/>
    <w:rsid w:val="007C1482"/>
    <w:rsid w:val="0080358B"/>
    <w:rsid w:val="008B2736"/>
    <w:rsid w:val="008F44C7"/>
    <w:rsid w:val="009C02B5"/>
    <w:rsid w:val="009C49DE"/>
    <w:rsid w:val="009D08AF"/>
    <w:rsid w:val="00AB6BA4"/>
    <w:rsid w:val="00AE67A3"/>
    <w:rsid w:val="00B20CCC"/>
    <w:rsid w:val="00BB056E"/>
    <w:rsid w:val="00BF3CE8"/>
    <w:rsid w:val="00BF3EAF"/>
    <w:rsid w:val="00C77135"/>
    <w:rsid w:val="00D366E8"/>
    <w:rsid w:val="00DD084F"/>
    <w:rsid w:val="00DF49EB"/>
    <w:rsid w:val="00E03B46"/>
    <w:rsid w:val="00E0775F"/>
    <w:rsid w:val="00E2236E"/>
    <w:rsid w:val="00E518B9"/>
    <w:rsid w:val="00ED3962"/>
    <w:rsid w:val="00EE1BB1"/>
    <w:rsid w:val="00EE45B0"/>
    <w:rsid w:val="00EF37F1"/>
    <w:rsid w:val="00FC27FB"/>
    <w:rsid w:val="00FD62AB"/>
    <w:rsid w:val="00FD727B"/>
    <w:rsid w:val="00FE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26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62"/>
    <w:pPr>
      <w:ind w:left="720"/>
      <w:contextualSpacing/>
    </w:pPr>
  </w:style>
  <w:style w:type="table" w:styleId="LightList-Accent1">
    <w:name w:val="Light List Accent 1"/>
    <w:basedOn w:val="TableNormal"/>
    <w:uiPriority w:val="61"/>
    <w:rsid w:val="00ED39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62"/>
    <w:pPr>
      <w:ind w:left="720"/>
      <w:contextualSpacing/>
    </w:pPr>
  </w:style>
  <w:style w:type="table" w:styleId="LightList-Accent1">
    <w:name w:val="Light List Accent 1"/>
    <w:basedOn w:val="TableNormal"/>
    <w:uiPriority w:val="61"/>
    <w:rsid w:val="00ED39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1449</Words>
  <Characters>8260</Characters>
  <Application>Microsoft Macintosh Word</Application>
  <DocSecurity>0</DocSecurity>
  <Lines>68</Lines>
  <Paragraphs>19</Paragraphs>
  <ScaleCrop>false</ScaleCrop>
  <Company>EMSL</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Jõgeva</dc:creator>
  <cp:keywords/>
  <dc:description/>
  <cp:lastModifiedBy>Maris Jõgeva</cp:lastModifiedBy>
  <cp:revision>4</cp:revision>
  <cp:lastPrinted>2016-05-06T06:42:00Z</cp:lastPrinted>
  <dcterms:created xsi:type="dcterms:W3CDTF">2016-05-02T09:58:00Z</dcterms:created>
  <dcterms:modified xsi:type="dcterms:W3CDTF">2016-05-06T06:55:00Z</dcterms:modified>
</cp:coreProperties>
</file>